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66B" w:rsidRPr="00B22F73" w:rsidRDefault="00D9166B" w:rsidP="00B22F73">
      <w:pPr>
        <w:tabs>
          <w:tab w:val="left" w:pos="1316"/>
        </w:tabs>
        <w:spacing w:line="276" w:lineRule="auto"/>
        <w:jc w:val="both"/>
        <w:rPr>
          <w:b/>
          <w:bCs/>
        </w:rPr>
      </w:pPr>
    </w:p>
    <w:p w:rsidR="006A5215" w:rsidRPr="00B22F73" w:rsidRDefault="00E243F2" w:rsidP="007130A5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B22F73">
        <w:rPr>
          <w:b/>
          <w:bCs/>
        </w:rPr>
        <w:t>Ενδεικτική</w:t>
      </w:r>
      <w:r w:rsidR="00D9166B" w:rsidRPr="00B22F73">
        <w:rPr>
          <w:b/>
          <w:bCs/>
          <w:lang w:val="en-US"/>
        </w:rPr>
        <w:t xml:space="preserve"> </w:t>
      </w:r>
      <w:r w:rsidR="00124AE9" w:rsidRPr="00B22F73">
        <w:rPr>
          <w:b/>
          <w:bCs/>
          <w:spacing w:val="-5"/>
        </w:rPr>
        <w:t>Β</w:t>
      </w:r>
      <w:r w:rsidR="00D9166B" w:rsidRPr="00B22F73">
        <w:rPr>
          <w:b/>
          <w:bCs/>
        </w:rPr>
        <w:t>ιβλιογραφία</w:t>
      </w:r>
    </w:p>
    <w:p w:rsidR="00D9166B" w:rsidRPr="00B22F73" w:rsidRDefault="00D9166B" w:rsidP="00B22F73">
      <w:pPr>
        <w:tabs>
          <w:tab w:val="left" w:pos="1316"/>
        </w:tabs>
        <w:spacing w:line="276" w:lineRule="auto"/>
        <w:jc w:val="both"/>
        <w:rPr>
          <w:b/>
          <w:bCs/>
          <w:lang w:val="en-US"/>
        </w:rPr>
      </w:pPr>
    </w:p>
    <w:p w:rsidR="00D9166B" w:rsidRPr="00B22F73" w:rsidRDefault="00EE7F66" w:rsidP="008E7953">
      <w:pPr>
        <w:pStyle w:val="a5"/>
        <w:numPr>
          <w:ilvl w:val="0"/>
          <w:numId w:val="1"/>
        </w:numPr>
        <w:spacing w:line="276" w:lineRule="auto"/>
        <w:ind w:right="2167"/>
        <w:rPr>
          <w:lang w:val="en-US"/>
        </w:rPr>
      </w:pPr>
      <w:proofErr w:type="spellStart"/>
      <w:r w:rsidRPr="00B22F73">
        <w:rPr>
          <w:lang w:val="en-US"/>
        </w:rPr>
        <w:t>Deterding</w:t>
      </w:r>
      <w:proofErr w:type="gramStart"/>
      <w:r w:rsidRPr="00B22F73">
        <w:rPr>
          <w:lang w:val="en-US"/>
        </w:rPr>
        <w:t>,S</w:t>
      </w:r>
      <w:proofErr w:type="spellEnd"/>
      <w:proofErr w:type="gramEnd"/>
      <w:r w:rsidRPr="00B22F73">
        <w:rPr>
          <w:lang w:val="en-US"/>
        </w:rPr>
        <w:t xml:space="preserve">., Dixon, D. Khaled, R., and </w:t>
      </w:r>
      <w:proofErr w:type="spellStart"/>
      <w:r w:rsidRPr="00B22F73">
        <w:rPr>
          <w:lang w:val="en-US"/>
        </w:rPr>
        <w:t>Nacke</w:t>
      </w:r>
      <w:proofErr w:type="spellEnd"/>
      <w:r w:rsidRPr="00B22F73">
        <w:rPr>
          <w:lang w:val="en-US"/>
        </w:rPr>
        <w:t xml:space="preserve">. L. (2011). From game design elements to </w:t>
      </w:r>
      <w:proofErr w:type="spellStart"/>
      <w:r w:rsidRPr="00B22F73">
        <w:rPr>
          <w:lang w:val="en-US"/>
        </w:rPr>
        <w:t>gamefulness</w:t>
      </w:r>
      <w:proofErr w:type="spellEnd"/>
      <w:r w:rsidRPr="00B22F73">
        <w:rPr>
          <w:lang w:val="en-US"/>
        </w:rPr>
        <w:t xml:space="preserve">: defining "gamification". In Proceedings of the 15th International Academic </w:t>
      </w:r>
      <w:proofErr w:type="spellStart"/>
      <w:r w:rsidRPr="00B22F73">
        <w:rPr>
          <w:lang w:val="en-US"/>
        </w:rPr>
        <w:t>MindTrek</w:t>
      </w:r>
      <w:proofErr w:type="spellEnd"/>
      <w:r w:rsidRPr="00B22F73">
        <w:rPr>
          <w:lang w:val="en-US"/>
        </w:rPr>
        <w:t xml:space="preserve"> Conference: Envisioning Future Media Environments (</w:t>
      </w:r>
      <w:proofErr w:type="spellStart"/>
      <w:r w:rsidRPr="00B22F73">
        <w:rPr>
          <w:lang w:val="en-US"/>
        </w:rPr>
        <w:t>MindTrek</w:t>
      </w:r>
      <w:proofErr w:type="spellEnd"/>
      <w:r w:rsidRPr="00B22F73">
        <w:rPr>
          <w:lang w:val="en-US"/>
        </w:rPr>
        <w:t xml:space="preserve"> '11). Association for Computing Machinery, New York, NY, USA, 9–15. </w:t>
      </w:r>
      <w:hyperlink r:id="rId10" w:history="1">
        <w:r w:rsidRPr="00B22F73">
          <w:rPr>
            <w:color w:val="0000FF" w:themeColor="hyperlink"/>
            <w:u w:val="single"/>
            <w:lang w:val="en-US"/>
          </w:rPr>
          <w:t>https://doi.org/10.1145/2181037.2181040</w:t>
        </w:r>
      </w:hyperlink>
      <w:r w:rsidR="00D9166B" w:rsidRPr="00B22F73">
        <w:rPr>
          <w:color w:val="0000FF" w:themeColor="hyperlink"/>
          <w:u w:val="single"/>
          <w:lang w:val="en-US"/>
        </w:rPr>
        <w:t>.</w:t>
      </w:r>
      <w:r w:rsidRPr="00B22F73">
        <w:rPr>
          <w:lang w:val="en-US"/>
        </w:rPr>
        <w:t xml:space="preserve"> </w:t>
      </w:r>
    </w:p>
    <w:p w:rsidR="00D9166B" w:rsidRPr="00B22F73" w:rsidRDefault="00EE7F66" w:rsidP="008E7953">
      <w:pPr>
        <w:pStyle w:val="a5"/>
        <w:numPr>
          <w:ilvl w:val="0"/>
          <w:numId w:val="1"/>
        </w:numPr>
        <w:spacing w:line="276" w:lineRule="auto"/>
        <w:ind w:right="2167"/>
      </w:pPr>
      <w:proofErr w:type="spellStart"/>
      <w:r w:rsidRPr="00B22F73">
        <w:rPr>
          <w:lang w:val="en-US"/>
        </w:rPr>
        <w:t>Duerden</w:t>
      </w:r>
      <w:proofErr w:type="spellEnd"/>
      <w:r w:rsidRPr="00B22F73">
        <w:rPr>
          <w:lang w:val="en-US"/>
        </w:rPr>
        <w:t xml:space="preserve">, M. D., Witt, P. A., Fernandez, M., Bryant, M. J., &amp; </w:t>
      </w:r>
      <w:proofErr w:type="spellStart"/>
      <w:r w:rsidRPr="00B22F73">
        <w:rPr>
          <w:lang w:val="en-US"/>
        </w:rPr>
        <w:t>Theriault</w:t>
      </w:r>
      <w:proofErr w:type="spellEnd"/>
      <w:r w:rsidRPr="00B22F73">
        <w:rPr>
          <w:lang w:val="en-US"/>
        </w:rPr>
        <w:t>, D. (2012).</w:t>
      </w:r>
      <w:r w:rsidRPr="00B22F73">
        <w:rPr>
          <w:spacing w:val="-52"/>
          <w:lang w:val="en-US"/>
        </w:rPr>
        <w:t xml:space="preserve"> </w:t>
      </w:r>
      <w:r w:rsidRPr="00B22F73">
        <w:rPr>
          <w:lang w:val="en-US"/>
        </w:rPr>
        <w:t>Measuring Life Skills: Standardizing the Assessment of Youth Development</w:t>
      </w:r>
      <w:r w:rsidRPr="00B22F73">
        <w:rPr>
          <w:spacing w:val="-53"/>
          <w:lang w:val="en-US"/>
        </w:rPr>
        <w:t xml:space="preserve"> </w:t>
      </w:r>
      <w:r w:rsidRPr="00B22F73">
        <w:rPr>
          <w:lang w:val="en-US"/>
        </w:rPr>
        <w:t xml:space="preserve">Indicators. </w:t>
      </w:r>
      <w:r w:rsidRPr="00B22F73">
        <w:rPr>
          <w:i/>
          <w:lang w:val="en-US"/>
        </w:rPr>
        <w:t>Journal of Youth Development</w:t>
      </w:r>
      <w:r w:rsidRPr="00B22F73">
        <w:rPr>
          <w:lang w:val="en-US"/>
        </w:rPr>
        <w:t xml:space="preserve">, </w:t>
      </w:r>
      <w:r w:rsidRPr="00B22F73">
        <w:rPr>
          <w:i/>
          <w:lang w:val="en-US"/>
        </w:rPr>
        <w:t>7</w:t>
      </w:r>
      <w:r w:rsidRPr="00B22F73">
        <w:rPr>
          <w:lang w:val="en-US"/>
        </w:rPr>
        <w:t>(1), 99–117.</w:t>
      </w:r>
      <w:r w:rsidRPr="00B22F73">
        <w:rPr>
          <w:spacing w:val="1"/>
          <w:lang w:val="en-US"/>
        </w:rPr>
        <w:t xml:space="preserve"> </w:t>
      </w:r>
      <w:hyperlink r:id="rId11" w:history="1">
        <w:r w:rsidRPr="00B22F73">
          <w:rPr>
            <w:color w:val="0000FF" w:themeColor="hyperlink"/>
            <w:u w:val="single"/>
            <w:lang w:val="en-US"/>
          </w:rPr>
          <w:t>https</w:t>
        </w:r>
        <w:r w:rsidRPr="00B22F73">
          <w:rPr>
            <w:color w:val="0000FF" w:themeColor="hyperlink"/>
            <w:u w:val="single"/>
          </w:rPr>
          <w:t>://</w:t>
        </w:r>
        <w:proofErr w:type="spellStart"/>
        <w:r w:rsidRPr="00B22F73">
          <w:rPr>
            <w:color w:val="0000FF" w:themeColor="hyperlink"/>
            <w:u w:val="single"/>
            <w:lang w:val="en-US"/>
          </w:rPr>
          <w:t>doi</w:t>
        </w:r>
        <w:proofErr w:type="spellEnd"/>
        <w:r w:rsidRPr="00B22F73">
          <w:rPr>
            <w:color w:val="0000FF" w:themeColor="hyperlink"/>
            <w:u w:val="single"/>
          </w:rPr>
          <w:t>.</w:t>
        </w:r>
        <w:r w:rsidRPr="00B22F73">
          <w:rPr>
            <w:color w:val="0000FF" w:themeColor="hyperlink"/>
            <w:u w:val="single"/>
            <w:lang w:val="en-US"/>
          </w:rPr>
          <w:t>org</w:t>
        </w:r>
        <w:r w:rsidRPr="00B22F73">
          <w:rPr>
            <w:color w:val="0000FF" w:themeColor="hyperlink"/>
            <w:u w:val="single"/>
          </w:rPr>
          <w:t>/10.5195/</w:t>
        </w:r>
        <w:proofErr w:type="spellStart"/>
        <w:r w:rsidRPr="00B22F73">
          <w:rPr>
            <w:color w:val="0000FF" w:themeColor="hyperlink"/>
            <w:u w:val="single"/>
            <w:lang w:val="en-US"/>
          </w:rPr>
          <w:t>jyd</w:t>
        </w:r>
        <w:proofErr w:type="spellEnd"/>
        <w:r w:rsidRPr="00B22F73">
          <w:rPr>
            <w:color w:val="0000FF" w:themeColor="hyperlink"/>
            <w:u w:val="single"/>
          </w:rPr>
          <w:t>.2012.155</w:t>
        </w:r>
      </w:hyperlink>
      <w:r w:rsidR="00D9166B" w:rsidRPr="00B22F73">
        <w:rPr>
          <w:color w:val="0000FF" w:themeColor="hyperlink"/>
          <w:u w:val="single"/>
        </w:rPr>
        <w:t>.</w:t>
      </w:r>
      <w:r w:rsidRPr="00B22F73">
        <w:t xml:space="preserve"> </w:t>
      </w:r>
    </w:p>
    <w:p w:rsidR="003625AA" w:rsidRPr="003625AA" w:rsidRDefault="003625AA" w:rsidP="003625AA">
      <w:pPr>
        <w:pStyle w:val="a5"/>
        <w:numPr>
          <w:ilvl w:val="0"/>
          <w:numId w:val="1"/>
        </w:numPr>
        <w:spacing w:line="276" w:lineRule="auto"/>
        <w:ind w:right="2167"/>
      </w:pPr>
      <w:r w:rsidRPr="00B22F73">
        <w:rPr>
          <w:i/>
        </w:rPr>
        <w:t>Ευρωπαϊκή</w:t>
      </w:r>
      <w:r w:rsidRPr="00B22F73">
        <w:rPr>
          <w:i/>
          <w:spacing w:val="-3"/>
        </w:rPr>
        <w:t xml:space="preserve"> </w:t>
      </w:r>
      <w:r w:rsidRPr="00B22F73">
        <w:rPr>
          <w:i/>
        </w:rPr>
        <w:t>Επιτροπή</w:t>
      </w:r>
      <w:r w:rsidRPr="00B22F73">
        <w:rPr>
          <w:i/>
          <w:spacing w:val="-1"/>
        </w:rPr>
        <w:t xml:space="preserve"> </w:t>
      </w:r>
      <w:r w:rsidRPr="00B22F73">
        <w:rPr>
          <w:i/>
        </w:rPr>
        <w:t>-</w:t>
      </w:r>
      <w:r w:rsidRPr="00B22F73">
        <w:rPr>
          <w:i/>
          <w:spacing w:val="-5"/>
        </w:rPr>
        <w:t xml:space="preserve"> </w:t>
      </w:r>
      <w:r w:rsidRPr="00B22F73">
        <w:rPr>
          <w:i/>
        </w:rPr>
        <w:t>Περιφερειακή</w:t>
      </w:r>
      <w:r w:rsidRPr="00B22F73">
        <w:rPr>
          <w:i/>
          <w:spacing w:val="-3"/>
        </w:rPr>
        <w:t xml:space="preserve"> </w:t>
      </w:r>
      <w:r w:rsidRPr="00B22F73">
        <w:rPr>
          <w:i/>
        </w:rPr>
        <w:t>Διεύθυνση</w:t>
      </w:r>
      <w:r w:rsidRPr="00B22F73">
        <w:rPr>
          <w:i/>
          <w:spacing w:val="-4"/>
        </w:rPr>
        <w:t xml:space="preserve"> </w:t>
      </w:r>
      <w:r w:rsidRPr="00B22F73">
        <w:rPr>
          <w:i/>
        </w:rPr>
        <w:t>Πρωτοβάθμιας</w:t>
      </w:r>
      <w:r w:rsidRPr="00B22F73">
        <w:rPr>
          <w:i/>
          <w:spacing w:val="-6"/>
        </w:rPr>
        <w:t xml:space="preserve"> </w:t>
      </w:r>
      <w:r w:rsidRPr="00B22F73">
        <w:rPr>
          <w:i/>
        </w:rPr>
        <w:t>και Δευτεροβάθμιας Εκπαίδευσης Κρήτης. (2020). CRISS - Απόκτηση, αξιολόγηση</w:t>
      </w:r>
      <w:r w:rsidRPr="00B22F73">
        <w:rPr>
          <w:i/>
          <w:spacing w:val="1"/>
        </w:rPr>
        <w:t xml:space="preserve"> </w:t>
      </w:r>
      <w:r w:rsidRPr="00B22F73">
        <w:rPr>
          <w:i/>
        </w:rPr>
        <w:t>και πιστοποίηση της Ψηφιακής Ικανότητας - Διδακτικά Σενάρια</w:t>
      </w:r>
      <w:bookmarkStart w:id="0" w:name="_GoBack"/>
      <w:bookmarkEnd w:id="0"/>
      <w:r w:rsidRPr="00B22F73">
        <w:rPr>
          <w:i/>
        </w:rPr>
        <w:t xml:space="preserve"> Πιστοποίησης</w:t>
      </w:r>
      <w:r w:rsidRPr="00B22F73">
        <w:rPr>
          <w:i/>
          <w:spacing w:val="-52"/>
        </w:rPr>
        <w:t xml:space="preserve"> </w:t>
      </w:r>
      <w:r w:rsidRPr="003625AA">
        <w:t>(Γ.</w:t>
      </w:r>
      <w:r w:rsidRPr="003625AA">
        <w:rPr>
          <w:spacing w:val="-2"/>
        </w:rPr>
        <w:t xml:space="preserve"> </w:t>
      </w:r>
      <w:proofErr w:type="spellStart"/>
      <w:r w:rsidRPr="003625AA">
        <w:t>Γώγουλος</w:t>
      </w:r>
      <w:proofErr w:type="spellEnd"/>
      <w:r w:rsidRPr="003625AA">
        <w:t>,</w:t>
      </w:r>
      <w:r w:rsidRPr="003625AA">
        <w:rPr>
          <w:spacing w:val="-1"/>
        </w:rPr>
        <w:t xml:space="preserve"> </w:t>
      </w:r>
      <w:r w:rsidRPr="003625AA">
        <w:t>Γ.</w:t>
      </w:r>
      <w:r w:rsidRPr="003625AA">
        <w:rPr>
          <w:spacing w:val="-1"/>
        </w:rPr>
        <w:t xml:space="preserve"> </w:t>
      </w:r>
      <w:proofErr w:type="spellStart"/>
      <w:r w:rsidRPr="003625AA">
        <w:t>Πανσεληνάς</w:t>
      </w:r>
      <w:proofErr w:type="spellEnd"/>
      <w:r w:rsidRPr="003625AA">
        <w:t>,</w:t>
      </w:r>
      <w:r w:rsidRPr="003625AA">
        <w:rPr>
          <w:spacing w:val="-1"/>
        </w:rPr>
        <w:t xml:space="preserve"> </w:t>
      </w:r>
      <w:r w:rsidRPr="003625AA">
        <w:t>&amp;</w:t>
      </w:r>
      <w:r w:rsidRPr="003625AA">
        <w:rPr>
          <w:spacing w:val="-1"/>
        </w:rPr>
        <w:t xml:space="preserve"> </w:t>
      </w:r>
      <w:r w:rsidRPr="003625AA">
        <w:t>Ι.</w:t>
      </w:r>
      <w:r w:rsidRPr="003625AA">
        <w:rPr>
          <w:spacing w:val="-1"/>
        </w:rPr>
        <w:t xml:space="preserve"> </w:t>
      </w:r>
      <w:proofErr w:type="spellStart"/>
      <w:r w:rsidRPr="003625AA">
        <w:t>Τζωρτζάκης</w:t>
      </w:r>
      <w:proofErr w:type="spellEnd"/>
      <w:r w:rsidRPr="003625AA">
        <w:t>,</w:t>
      </w:r>
      <w:r w:rsidRPr="003625AA">
        <w:rPr>
          <w:spacing w:val="-1"/>
        </w:rPr>
        <w:t xml:space="preserve"> </w:t>
      </w:r>
      <w:proofErr w:type="spellStart"/>
      <w:r w:rsidRPr="003625AA">
        <w:t>Eds</w:t>
      </w:r>
      <w:proofErr w:type="spellEnd"/>
      <w:r w:rsidRPr="003625AA">
        <w:t>.).</w:t>
      </w:r>
      <w:r w:rsidRPr="003625AA">
        <w:rPr>
          <w:spacing w:val="-2"/>
        </w:rPr>
        <w:t xml:space="preserve"> </w:t>
      </w:r>
      <w:r w:rsidRPr="003625AA">
        <w:t>Π.Δ.Ε.</w:t>
      </w:r>
      <w:r w:rsidRPr="003625AA">
        <w:rPr>
          <w:spacing w:val="-1"/>
        </w:rPr>
        <w:t xml:space="preserve"> </w:t>
      </w:r>
      <w:r w:rsidRPr="003625AA">
        <w:t>Κρήτης.</w:t>
      </w:r>
    </w:p>
    <w:p w:rsidR="00D9166B" w:rsidRPr="00B22F73" w:rsidRDefault="00D9166B" w:rsidP="008E7953">
      <w:pPr>
        <w:pStyle w:val="a5"/>
        <w:numPr>
          <w:ilvl w:val="0"/>
          <w:numId w:val="1"/>
        </w:numPr>
        <w:spacing w:line="276" w:lineRule="auto"/>
        <w:ind w:right="2167"/>
      </w:pPr>
      <w:r w:rsidRPr="00B22F73">
        <w:t>Ινστιτούτο Εκπαιδευτικής Πολιτικής (2020) Επιμορφωτικό Υλικό: Εργαστήριο</w:t>
      </w:r>
      <w:r w:rsidRPr="00B22F73">
        <w:rPr>
          <w:spacing w:val="-52"/>
        </w:rPr>
        <w:t xml:space="preserve"> </w:t>
      </w:r>
      <w:r w:rsidRPr="00B22F73">
        <w:t>Δεξιοτήτων Πιλοτική</w:t>
      </w:r>
      <w:r w:rsidRPr="00B22F73">
        <w:rPr>
          <w:spacing w:val="1"/>
        </w:rPr>
        <w:t xml:space="preserve"> </w:t>
      </w:r>
      <w:r w:rsidRPr="00B22F73">
        <w:t>Εφαρμογή.</w:t>
      </w:r>
    </w:p>
    <w:p w:rsidR="00D9166B" w:rsidRPr="00B22F73" w:rsidRDefault="00EE7F66" w:rsidP="008E7953">
      <w:pPr>
        <w:pStyle w:val="a5"/>
        <w:numPr>
          <w:ilvl w:val="0"/>
          <w:numId w:val="1"/>
        </w:numPr>
        <w:spacing w:line="276" w:lineRule="auto"/>
        <w:ind w:right="2167"/>
        <w:rPr>
          <w:lang w:val="en-US"/>
        </w:rPr>
      </w:pPr>
      <w:r w:rsidRPr="00B22F73">
        <w:rPr>
          <w:lang w:val="en-US"/>
        </w:rPr>
        <w:t>Johnson</w:t>
      </w:r>
      <w:r w:rsidRPr="003625AA">
        <w:rPr>
          <w:lang w:val="en-US"/>
        </w:rPr>
        <w:t xml:space="preserve">, </w:t>
      </w:r>
      <w:r w:rsidRPr="00B22F73">
        <w:rPr>
          <w:lang w:val="en-US"/>
        </w:rPr>
        <w:t>R</w:t>
      </w:r>
      <w:r w:rsidRPr="003625AA">
        <w:rPr>
          <w:lang w:val="en-US"/>
        </w:rPr>
        <w:t xml:space="preserve">. </w:t>
      </w:r>
      <w:r w:rsidRPr="00B22F73">
        <w:rPr>
          <w:lang w:val="en-US"/>
        </w:rPr>
        <w:t>T</w:t>
      </w:r>
      <w:r w:rsidRPr="003625AA">
        <w:rPr>
          <w:lang w:val="en-US"/>
        </w:rPr>
        <w:t xml:space="preserve">., &amp; </w:t>
      </w:r>
      <w:r w:rsidRPr="00B22F73">
        <w:rPr>
          <w:lang w:val="en-US"/>
        </w:rPr>
        <w:t>Johnson, D. W. (2008). Active Learning: Cooperation in the</w:t>
      </w:r>
      <w:r w:rsidRPr="00B22F73">
        <w:rPr>
          <w:spacing w:val="1"/>
          <w:lang w:val="en-US"/>
        </w:rPr>
        <w:t xml:space="preserve"> </w:t>
      </w:r>
      <w:r w:rsidRPr="00B22F73">
        <w:rPr>
          <w:lang w:val="en-US"/>
        </w:rPr>
        <w:t xml:space="preserve">Classroom. </w:t>
      </w:r>
      <w:r w:rsidRPr="00B22F73">
        <w:rPr>
          <w:i/>
          <w:lang w:val="en-US"/>
        </w:rPr>
        <w:t>The Annual Report of Educational Psychology in Japan</w:t>
      </w:r>
      <w:r w:rsidRPr="00B22F73">
        <w:rPr>
          <w:lang w:val="en-US"/>
        </w:rPr>
        <w:t xml:space="preserve">, </w:t>
      </w:r>
      <w:r w:rsidRPr="00B22F73">
        <w:rPr>
          <w:i/>
          <w:lang w:val="en-US"/>
        </w:rPr>
        <w:t>47</w:t>
      </w:r>
      <w:r w:rsidRPr="00B22F73">
        <w:rPr>
          <w:lang w:val="en-US"/>
        </w:rPr>
        <w:t>(0), 29–30.</w:t>
      </w:r>
      <w:r w:rsidR="00D9166B" w:rsidRPr="00B22F73">
        <w:rPr>
          <w:lang w:val="en-US"/>
        </w:rPr>
        <w:t xml:space="preserve"> </w:t>
      </w:r>
      <w:r w:rsidRPr="00B22F73">
        <w:rPr>
          <w:spacing w:val="-52"/>
          <w:lang w:val="en-US"/>
        </w:rPr>
        <w:t xml:space="preserve"> </w:t>
      </w:r>
      <w:hyperlink r:id="rId12" w:history="1">
        <w:r w:rsidRPr="00B22F73">
          <w:rPr>
            <w:color w:val="0000FF" w:themeColor="hyperlink"/>
            <w:u w:val="single"/>
            <w:lang w:val="en-US"/>
          </w:rPr>
          <w:t>https://doi.org/10.5926/arepj1962.47.0_29</w:t>
        </w:r>
      </w:hyperlink>
      <w:r w:rsidR="00D9166B" w:rsidRPr="003625AA">
        <w:rPr>
          <w:color w:val="0000FF" w:themeColor="hyperlink"/>
          <w:u w:val="single"/>
          <w:lang w:val="en-US"/>
        </w:rPr>
        <w:t>.</w:t>
      </w:r>
      <w:r w:rsidRPr="00B22F73">
        <w:rPr>
          <w:lang w:val="en-US"/>
        </w:rPr>
        <w:t xml:space="preserve"> </w:t>
      </w:r>
    </w:p>
    <w:p w:rsidR="00D9166B" w:rsidRPr="00B22F73" w:rsidRDefault="00EE7F66" w:rsidP="008E7953">
      <w:pPr>
        <w:pStyle w:val="a5"/>
        <w:numPr>
          <w:ilvl w:val="0"/>
          <w:numId w:val="1"/>
        </w:numPr>
        <w:spacing w:line="276" w:lineRule="auto"/>
        <w:ind w:right="2167"/>
        <w:rPr>
          <w:lang w:val="en-US"/>
        </w:rPr>
      </w:pPr>
      <w:proofErr w:type="spellStart"/>
      <w:r w:rsidRPr="00B22F73">
        <w:rPr>
          <w:lang w:val="en-US"/>
        </w:rPr>
        <w:t>Werbach</w:t>
      </w:r>
      <w:proofErr w:type="spellEnd"/>
      <w:r w:rsidRPr="00B22F73">
        <w:rPr>
          <w:lang w:val="en-US"/>
        </w:rPr>
        <w:t>, K. (2014). (Re</w:t>
      </w:r>
      <w:proofErr w:type="gramStart"/>
      <w:r w:rsidRPr="00B22F73">
        <w:rPr>
          <w:lang w:val="en-US"/>
        </w:rPr>
        <w:t>)defining</w:t>
      </w:r>
      <w:proofErr w:type="gramEnd"/>
      <w:r w:rsidRPr="00B22F73">
        <w:rPr>
          <w:lang w:val="en-US"/>
        </w:rPr>
        <w:t xml:space="preserve"> gamification: A process approach. </w:t>
      </w:r>
      <w:r w:rsidRPr="00B22F73">
        <w:rPr>
          <w:i/>
          <w:lang w:val="en-US"/>
        </w:rPr>
        <w:t>Lecture Notes in</w:t>
      </w:r>
      <w:r w:rsidRPr="00B22F73">
        <w:rPr>
          <w:i/>
          <w:spacing w:val="1"/>
          <w:lang w:val="en-US"/>
        </w:rPr>
        <w:t xml:space="preserve"> </w:t>
      </w:r>
      <w:r w:rsidRPr="00B22F73">
        <w:rPr>
          <w:i/>
          <w:lang w:val="en-US"/>
        </w:rPr>
        <w:t>Computer Science (Including Subseries Lecture Notes in Artificial Intelligence and</w:t>
      </w:r>
      <w:r w:rsidRPr="00B22F73">
        <w:rPr>
          <w:i/>
          <w:spacing w:val="-52"/>
          <w:lang w:val="en-US"/>
        </w:rPr>
        <w:t xml:space="preserve"> </w:t>
      </w:r>
      <w:r w:rsidRPr="00B22F73">
        <w:rPr>
          <w:i/>
          <w:lang w:val="en-US"/>
        </w:rPr>
        <w:t>Lecture Notes in Bioinformatics)</w:t>
      </w:r>
      <w:r w:rsidRPr="00B22F73">
        <w:rPr>
          <w:lang w:val="en-US"/>
        </w:rPr>
        <w:t xml:space="preserve">, </w:t>
      </w:r>
      <w:r w:rsidRPr="00B22F73">
        <w:rPr>
          <w:i/>
          <w:lang w:val="en-US"/>
        </w:rPr>
        <w:t>8462 LNCS</w:t>
      </w:r>
      <w:r w:rsidRPr="00B22F73">
        <w:rPr>
          <w:lang w:val="en-US"/>
        </w:rPr>
        <w:t>, 266–272.</w:t>
      </w:r>
      <w:r w:rsidRPr="00B22F73">
        <w:rPr>
          <w:spacing w:val="1"/>
          <w:lang w:val="en-US"/>
        </w:rPr>
        <w:t xml:space="preserve"> </w:t>
      </w:r>
      <w:hyperlink r:id="rId13" w:history="1">
        <w:r w:rsidRPr="00B22F73">
          <w:rPr>
            <w:color w:val="0000FF" w:themeColor="hyperlink"/>
            <w:u w:val="single"/>
            <w:lang w:val="en-US"/>
          </w:rPr>
          <w:t>https</w:t>
        </w:r>
        <w:r w:rsidRPr="00B22F73">
          <w:rPr>
            <w:color w:val="0000FF" w:themeColor="hyperlink"/>
            <w:u w:val="single"/>
          </w:rPr>
          <w:t>://</w:t>
        </w:r>
        <w:proofErr w:type="spellStart"/>
        <w:r w:rsidRPr="00B22F73">
          <w:rPr>
            <w:color w:val="0000FF" w:themeColor="hyperlink"/>
            <w:u w:val="single"/>
            <w:lang w:val="en-US"/>
          </w:rPr>
          <w:t>doi</w:t>
        </w:r>
        <w:proofErr w:type="spellEnd"/>
        <w:r w:rsidRPr="00B22F73">
          <w:rPr>
            <w:color w:val="0000FF" w:themeColor="hyperlink"/>
            <w:u w:val="single"/>
          </w:rPr>
          <w:t>.</w:t>
        </w:r>
        <w:r w:rsidRPr="00B22F73">
          <w:rPr>
            <w:color w:val="0000FF" w:themeColor="hyperlink"/>
            <w:u w:val="single"/>
            <w:lang w:val="en-US"/>
          </w:rPr>
          <w:t>org</w:t>
        </w:r>
        <w:r w:rsidRPr="00B22F73">
          <w:rPr>
            <w:color w:val="0000FF" w:themeColor="hyperlink"/>
            <w:u w:val="single"/>
          </w:rPr>
          <w:t>/10.1007/978-3-319-07127-5_23</w:t>
        </w:r>
      </w:hyperlink>
      <w:r w:rsidR="00D9166B" w:rsidRPr="00B22F73">
        <w:rPr>
          <w:color w:val="0000FF" w:themeColor="hyperlink"/>
          <w:u w:val="single"/>
        </w:rPr>
        <w:t>.</w:t>
      </w:r>
      <w:r w:rsidRPr="00B22F73">
        <w:t xml:space="preserve"> </w:t>
      </w:r>
    </w:p>
    <w:p w:rsidR="00EE7F66" w:rsidRPr="00EE7F66" w:rsidRDefault="00EE7F66" w:rsidP="00EE7F66">
      <w:pPr>
        <w:spacing w:line="276" w:lineRule="auto"/>
        <w:jc w:val="both"/>
        <w:rPr>
          <w:sz w:val="24"/>
        </w:rPr>
      </w:pPr>
    </w:p>
    <w:p w:rsidR="00EE7F66" w:rsidRPr="00EE7F66" w:rsidRDefault="00EE7F66" w:rsidP="00EE7F66">
      <w:pPr>
        <w:tabs>
          <w:tab w:val="left" w:pos="2880"/>
          <w:tab w:val="left" w:pos="2881"/>
        </w:tabs>
        <w:ind w:left="2519"/>
        <w:jc w:val="both"/>
        <w:rPr>
          <w:rFonts w:ascii="Symbol" w:hAnsi="Symbol"/>
          <w:sz w:val="20"/>
        </w:rPr>
      </w:pPr>
    </w:p>
    <w:p w:rsidR="00B17B8D" w:rsidRPr="00B17B8D" w:rsidRDefault="00B17B8D" w:rsidP="00EE7F66">
      <w:pPr>
        <w:tabs>
          <w:tab w:val="left" w:pos="1316"/>
        </w:tabs>
        <w:jc w:val="both"/>
        <w:rPr>
          <w:b/>
          <w:bCs/>
          <w:sz w:val="24"/>
          <w:szCs w:val="24"/>
          <w:u w:val="single"/>
        </w:rPr>
      </w:pPr>
    </w:p>
    <w:sectPr w:rsidR="00B17B8D" w:rsidRPr="00B17B8D" w:rsidSect="00865E8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F92" w:rsidRDefault="005E2F92">
      <w:r>
        <w:separator/>
      </w:r>
    </w:p>
  </w:endnote>
  <w:endnote w:type="continuationSeparator" w:id="0">
    <w:p w:rsidR="005E2F92" w:rsidRDefault="005E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FD5785" w:rsidP="00FD5785">
    <w:pPr>
      <w:pStyle w:val="a4"/>
    </w:pPr>
    <w:r w:rsidRPr="00FD5785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5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F92" w:rsidRDefault="005E2F92">
      <w:r>
        <w:separator/>
      </w:r>
    </w:p>
  </w:footnote>
  <w:footnote w:type="continuationSeparator" w:id="0">
    <w:p w:rsidR="005E2F92" w:rsidRDefault="005E2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392A1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73E68"/>
    <w:multiLevelType w:val="hybridMultilevel"/>
    <w:tmpl w:val="D9DC7A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24AE9"/>
    <w:rsid w:val="001553DE"/>
    <w:rsid w:val="003625AA"/>
    <w:rsid w:val="00392A1F"/>
    <w:rsid w:val="003C08BA"/>
    <w:rsid w:val="005E2F92"/>
    <w:rsid w:val="00683DCB"/>
    <w:rsid w:val="006A5215"/>
    <w:rsid w:val="007028F2"/>
    <w:rsid w:val="007130A5"/>
    <w:rsid w:val="00851A6D"/>
    <w:rsid w:val="00865E82"/>
    <w:rsid w:val="008E7953"/>
    <w:rsid w:val="00B17B8D"/>
    <w:rsid w:val="00B22F73"/>
    <w:rsid w:val="00B97C74"/>
    <w:rsid w:val="00BE1597"/>
    <w:rsid w:val="00D56947"/>
    <w:rsid w:val="00D9166B"/>
    <w:rsid w:val="00E243F2"/>
    <w:rsid w:val="00EE7F66"/>
    <w:rsid w:val="00F2058E"/>
    <w:rsid w:val="00FD5785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B061B4-CF38-4559-859D-EC062F652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028F2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028F2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028F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8F2"/>
    <w:rPr>
      <w:sz w:val="24"/>
      <w:szCs w:val="24"/>
    </w:rPr>
  </w:style>
  <w:style w:type="paragraph" w:styleId="a4">
    <w:name w:val="Title"/>
    <w:basedOn w:val="a"/>
    <w:uiPriority w:val="1"/>
    <w:qFormat/>
    <w:rsid w:val="007028F2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028F2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028F2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D578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D5785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oi.org/10.1007/978-3-319-07127-5_2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doi.org/10.5926/arepj1962.47.0_29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oi.org/10.5195/jyd.2012.155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doi.org/10.1145/2181037.2181040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16</cp:revision>
  <dcterms:created xsi:type="dcterms:W3CDTF">2024-06-05T11:08:00Z</dcterms:created>
  <dcterms:modified xsi:type="dcterms:W3CDTF">2025-09-19T08:43:00Z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